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163A05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163A05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163A05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 w:rsidR="0075729D" w:rsidRPr="00A141AD">
        <w:rPr>
          <w:rFonts w:ascii="Arial Narrow" w:hAnsi="Arial Narrow" w:cs="Arial"/>
          <w:b/>
          <w:sz w:val="28"/>
          <w:szCs w:val="28"/>
        </w:rPr>
        <w:t>1</w:t>
      </w:r>
      <w:r w:rsidR="003D51CE">
        <w:rPr>
          <w:rFonts w:ascii="Arial Narrow" w:hAnsi="Arial Narrow" w:cs="Arial"/>
          <w:b/>
          <w:sz w:val="28"/>
          <w:szCs w:val="28"/>
        </w:rPr>
        <w:t>55</w:t>
      </w:r>
      <w:r w:rsidR="00B653C3" w:rsidRPr="00A141AD">
        <w:rPr>
          <w:rFonts w:ascii="Arial Narrow" w:hAnsi="Arial Narrow" w:cs="Arial"/>
          <w:b/>
          <w:sz w:val="28"/>
          <w:szCs w:val="28"/>
        </w:rPr>
        <w:t>/2017</w:t>
      </w: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63A05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</w:t>
      </w:r>
      <w:r w:rsidR="00163A05" w:rsidRPr="00163A05">
        <w:rPr>
          <w:rFonts w:ascii="Arial Narrow" w:hAnsi="Arial Narrow" w:cs="Arial"/>
          <w:b/>
          <w:sz w:val="28"/>
          <w:szCs w:val="28"/>
        </w:rPr>
        <w:t xml:space="preserve">EMPRESA </w:t>
      </w:r>
      <w:r w:rsidR="003D51CE">
        <w:rPr>
          <w:rFonts w:ascii="Arial Narrow" w:hAnsi="Arial Narrow" w:cs="Arial Narrow"/>
          <w:b/>
          <w:sz w:val="28"/>
          <w:szCs w:val="28"/>
          <w:lang w:eastAsia="pt-BR"/>
        </w:rPr>
        <w:t>PORTO SEGURO COMPANHIA DE SEGUROS GERAIS</w:t>
      </w:r>
      <w:r w:rsidRPr="00163A05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163A05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I - DAS PARTES: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O MUNICÍPIO DE IGUATEMI, ESTADO DE MATO GROSSO DO SUL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163A05">
        <w:rPr>
          <w:rFonts w:ascii="Arial Narrow" w:hAnsi="Arial Narrow" w:cs="Arial Narrow"/>
          <w:b/>
          <w:i/>
          <w:sz w:val="28"/>
          <w:szCs w:val="28"/>
          <w:lang w:eastAsia="pt-BR"/>
        </w:rPr>
        <w:t>03.568.318/0001-61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doravante denominada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 xml:space="preserve">CONTRATANTE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e a empresa, </w:t>
      </w:r>
      <w:r w:rsidR="003D51CE">
        <w:rPr>
          <w:rFonts w:ascii="Arial Narrow" w:hAnsi="Arial Narrow" w:cs="Arial Narrow"/>
          <w:b/>
          <w:sz w:val="28"/>
          <w:szCs w:val="28"/>
          <w:lang w:eastAsia="pt-BR"/>
        </w:rPr>
        <w:t>PORTO SEGURO COMPANHIA DE SEGUROS GERAIS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com sede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n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a 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 xml:space="preserve">Avenida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R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io Branco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, nº. 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1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4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89 e Rua Guaianases, n°. 1238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Campos Elíseos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, no Município de 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São Paulo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/S</w:t>
      </w:r>
      <w:r w:rsidR="003D51CE">
        <w:rPr>
          <w:rFonts w:ascii="Arial Narrow" w:hAnsi="Arial Narrow" w:cs="Arial Narrow"/>
          <w:sz w:val="28"/>
          <w:szCs w:val="28"/>
          <w:lang w:eastAsia="pt-BR"/>
        </w:rPr>
        <w:t>P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inscrita no CNPJ sob nº.</w:t>
      </w:r>
      <w:r w:rsidRPr="00163A05">
        <w:rPr>
          <w:rFonts w:ascii="Arial Narrow" w:hAnsi="Arial Narrow"/>
          <w:sz w:val="28"/>
          <w:szCs w:val="28"/>
        </w:rPr>
        <w:t xml:space="preserve"> </w:t>
      </w:r>
      <w:r w:rsidR="003D51CE">
        <w:rPr>
          <w:rFonts w:ascii="Arial Narrow" w:hAnsi="Arial Narrow" w:cs="Arial Narrow"/>
          <w:b/>
          <w:i/>
          <w:sz w:val="28"/>
          <w:szCs w:val="28"/>
          <w:lang w:eastAsia="pt-BR"/>
        </w:rPr>
        <w:t>61.198.164/0001-60</w:t>
      </w:r>
      <w:r w:rsidRPr="00163A05">
        <w:rPr>
          <w:rFonts w:ascii="Arial Narrow" w:hAnsi="Arial Narrow" w:cs="Arial Narrow"/>
          <w:b/>
          <w:i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doravante denominada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II - REPRESENTANTES: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163A05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163A05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163A05">
        <w:rPr>
          <w:rFonts w:ascii="Arial Narrow" w:hAnsi="Arial Narrow" w:cs="Arial"/>
          <w:iCs/>
          <w:sz w:val="28"/>
          <w:szCs w:val="28"/>
        </w:rPr>
        <w:t xml:space="preserve"> a Prefeita Municipal a Sra. </w:t>
      </w:r>
      <w:r w:rsidRPr="00163A05">
        <w:rPr>
          <w:rFonts w:ascii="Arial Narrow" w:hAnsi="Arial Narrow"/>
          <w:b/>
          <w:bCs/>
          <w:i/>
          <w:iCs/>
          <w:caps/>
          <w:sz w:val="28"/>
          <w:szCs w:val="28"/>
        </w:rPr>
        <w:t>Patricia Derenusson Nelli Margatto Nunes</w:t>
      </w:r>
      <w:r w:rsidRPr="00163A05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163A05">
        <w:rPr>
          <w:rFonts w:ascii="Arial Narrow" w:hAnsi="Arial Narrow"/>
          <w:b/>
          <w:i/>
          <w:sz w:val="28"/>
          <w:szCs w:val="28"/>
        </w:rPr>
        <w:t>3.932.359-1</w:t>
      </w:r>
      <w:r w:rsidRPr="00163A05">
        <w:rPr>
          <w:rFonts w:ascii="Arial Narrow" w:hAnsi="Arial Narrow"/>
          <w:sz w:val="28"/>
          <w:szCs w:val="28"/>
        </w:rPr>
        <w:t xml:space="preserve"> SSP/PR e inscrito no CPF sob o nº. </w:t>
      </w:r>
      <w:r w:rsidRPr="00163A05">
        <w:rPr>
          <w:rFonts w:ascii="Arial Narrow" w:hAnsi="Arial Narrow"/>
          <w:b/>
          <w:i/>
          <w:sz w:val="28"/>
          <w:szCs w:val="28"/>
        </w:rPr>
        <w:t>735.027.829-20</w:t>
      </w:r>
      <w:r w:rsidRPr="00163A05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e a </w:t>
      </w:r>
      <w:r w:rsidRPr="00163A05">
        <w:rPr>
          <w:rFonts w:ascii="Arial Narrow" w:hAnsi="Arial Narrow" w:cs="Arial Narrow"/>
          <w:b/>
          <w:bCs/>
          <w:sz w:val="28"/>
          <w:szCs w:val="28"/>
          <w:lang w:eastAsia="pt-BR"/>
        </w:rPr>
        <w:t>CONTRATADA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pel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 xml:space="preserve">os procuradores,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a Sr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.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Mar</w:t>
      </w:r>
      <w:r w:rsidR="00EE44E8">
        <w:rPr>
          <w:rFonts w:ascii="Arial Narrow" w:hAnsi="Arial Narrow" w:cs="Arial Narrow"/>
          <w:b/>
          <w:i/>
          <w:sz w:val="28"/>
          <w:szCs w:val="28"/>
          <w:lang w:eastAsia="pt-BR"/>
        </w:rPr>
        <w:t xml:space="preserve">ta </w:t>
      </w:r>
      <w:r w:rsidR="00C86B99">
        <w:rPr>
          <w:rFonts w:ascii="Arial Narrow" w:hAnsi="Arial Narrow" w:cs="Arial Narrow"/>
          <w:b/>
          <w:i/>
          <w:sz w:val="28"/>
          <w:szCs w:val="28"/>
          <w:lang w:eastAsia="pt-BR"/>
        </w:rPr>
        <w:t>W</w:t>
      </w:r>
      <w:r w:rsidR="00EE44E8">
        <w:rPr>
          <w:rFonts w:ascii="Arial Narrow" w:hAnsi="Arial Narrow" w:cs="Arial Narrow"/>
          <w:b/>
          <w:i/>
          <w:sz w:val="28"/>
          <w:szCs w:val="28"/>
          <w:lang w:eastAsia="pt-BR"/>
        </w:rPr>
        <w:t>outers Montoya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brasileir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a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casad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a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,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sec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ur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 xml:space="preserve">itária,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portadora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da RG nº. </w:t>
      </w:r>
      <w:r w:rsidR="00EE44E8">
        <w:rPr>
          <w:rFonts w:ascii="Arial Narrow" w:hAnsi="Arial Narrow" w:cs="Arial Narrow"/>
          <w:b/>
          <w:i/>
          <w:sz w:val="28"/>
          <w:szCs w:val="28"/>
          <w:lang w:eastAsia="pt-BR"/>
        </w:rPr>
        <w:t>57.124.465-8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SSP/S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P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 e CPF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 xml:space="preserve"> sob o nº. </w:t>
      </w:r>
      <w:r w:rsidR="00EE44E8">
        <w:rPr>
          <w:rFonts w:ascii="Arial Narrow" w:hAnsi="Arial Narrow" w:cs="Arial Narrow"/>
          <w:b/>
          <w:i/>
          <w:sz w:val="28"/>
          <w:szCs w:val="28"/>
          <w:lang w:eastAsia="pt-BR"/>
        </w:rPr>
        <w:t>603.184.650-00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>, residente e domiciliad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o </w:t>
      </w:r>
      <w:r w:rsidRPr="00163A05">
        <w:rPr>
          <w:rFonts w:ascii="Arial Narrow" w:hAnsi="Arial Narrow" w:cs="Arial Narrow"/>
          <w:sz w:val="28"/>
          <w:szCs w:val="28"/>
          <w:lang w:eastAsia="pt-BR"/>
        </w:rPr>
        <w:t xml:space="preserve">na </w:t>
      </w:r>
      <w:r w:rsidR="00EE44E8">
        <w:rPr>
          <w:rFonts w:ascii="Arial Narrow" w:hAnsi="Arial Narrow" w:cs="Arial Narrow"/>
          <w:sz w:val="28"/>
          <w:szCs w:val="28"/>
          <w:lang w:eastAsia="pt-BR"/>
        </w:rPr>
        <w:t>Alameda Barão de Piracicaba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, nº</w:t>
      </w:r>
      <w:r w:rsidR="005D53FB">
        <w:rPr>
          <w:rFonts w:ascii="Arial Narrow" w:hAnsi="Arial Narrow" w:cs="Arial Narrow"/>
          <w:sz w:val="28"/>
          <w:szCs w:val="28"/>
          <w:lang w:eastAsia="pt-BR"/>
        </w:rPr>
        <w:t>.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618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/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634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, Torre “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B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”,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1º andar, Campos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Elíseos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São Paulo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/S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P e a 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>Sr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a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 xml:space="preserve">. </w:t>
      </w:r>
      <w:r w:rsidR="00C16ABB">
        <w:rPr>
          <w:rFonts w:ascii="Arial Narrow" w:hAnsi="Arial Narrow" w:cs="Arial Narrow"/>
          <w:b/>
          <w:i/>
          <w:sz w:val="28"/>
          <w:szCs w:val="28"/>
          <w:lang w:eastAsia="pt-BR"/>
        </w:rPr>
        <w:t>Neide Oliveira Souza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>, brasileir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a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>,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 casada, securitária, 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>portadora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 da RG nº. </w:t>
      </w:r>
      <w:r w:rsidR="00C16ABB">
        <w:rPr>
          <w:rFonts w:ascii="Arial Narrow" w:hAnsi="Arial Narrow" w:cs="Arial Narrow"/>
          <w:b/>
          <w:i/>
          <w:sz w:val="28"/>
          <w:szCs w:val="28"/>
          <w:lang w:eastAsia="pt-BR"/>
        </w:rPr>
        <w:t>28.543.390-8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 xml:space="preserve"> SSP/S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P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 xml:space="preserve"> e CPF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 sob o nº. </w:t>
      </w:r>
      <w:r w:rsidR="00C16ABB">
        <w:rPr>
          <w:rFonts w:ascii="Arial Narrow" w:hAnsi="Arial Narrow" w:cs="Arial Narrow"/>
          <w:b/>
          <w:i/>
          <w:sz w:val="28"/>
          <w:szCs w:val="28"/>
          <w:lang w:eastAsia="pt-BR"/>
        </w:rPr>
        <w:t>205.408.568-51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>, residente e domiciliad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o </w:t>
      </w:r>
      <w:r w:rsidR="00C16ABB" w:rsidRPr="00163A05">
        <w:rPr>
          <w:rFonts w:ascii="Arial Narrow" w:hAnsi="Arial Narrow" w:cs="Arial Narrow"/>
          <w:sz w:val="28"/>
          <w:szCs w:val="28"/>
          <w:lang w:eastAsia="pt-BR"/>
        </w:rPr>
        <w:t xml:space="preserve">na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 xml:space="preserve">Alameda Barão de Piracicaba, nº. 618/634, Torre “B”, 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2</w:t>
      </w:r>
      <w:r w:rsidR="00C16ABB">
        <w:rPr>
          <w:rFonts w:ascii="Arial Narrow" w:hAnsi="Arial Narrow" w:cs="Arial Narrow"/>
          <w:sz w:val="28"/>
          <w:szCs w:val="28"/>
          <w:lang w:eastAsia="pt-BR"/>
        </w:rPr>
        <w:t>º andar, Campos Elíseos, São Paulo/SP</w:t>
      </w:r>
      <w:r w:rsidR="00C86B99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63A05" w:rsidRPr="00163A05" w:rsidRDefault="00163A05" w:rsidP="00163A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lang w:eastAsia="pt-BR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III. DA AUTORIZAÇÃO DA LICITAÇÃO:</w:t>
      </w:r>
      <w:r w:rsidRPr="005D3D0B">
        <w:rPr>
          <w:rFonts w:ascii="Arial Narrow" w:hAnsi="Arial Narrow"/>
          <w:sz w:val="28"/>
          <w:szCs w:val="28"/>
        </w:rPr>
        <w:t xml:space="preserve"> O presente Contrato é celebrado em decorrência da autorização d</w:t>
      </w:r>
      <w:r w:rsidR="00C16ABB">
        <w:rPr>
          <w:rFonts w:ascii="Arial Narrow" w:hAnsi="Arial Narrow"/>
          <w:sz w:val="28"/>
          <w:szCs w:val="28"/>
        </w:rPr>
        <w:t xml:space="preserve">a </w:t>
      </w:r>
      <w:r w:rsidRPr="005D3D0B">
        <w:rPr>
          <w:rFonts w:ascii="Arial Narrow" w:hAnsi="Arial Narrow"/>
          <w:sz w:val="28"/>
          <w:szCs w:val="28"/>
        </w:rPr>
        <w:t>Prefeit</w:t>
      </w:r>
      <w:r w:rsidR="00C16ABB">
        <w:rPr>
          <w:rFonts w:ascii="Arial Narrow" w:hAnsi="Arial Narrow"/>
          <w:sz w:val="28"/>
          <w:szCs w:val="28"/>
        </w:rPr>
        <w:t>a</w:t>
      </w:r>
      <w:r w:rsidRPr="005D3D0B">
        <w:rPr>
          <w:rFonts w:ascii="Arial Narrow" w:hAnsi="Arial Narrow"/>
          <w:sz w:val="28"/>
          <w:szCs w:val="28"/>
        </w:rPr>
        <w:t xml:space="preserve"> Municipal, exarada em despacho constante do </w:t>
      </w:r>
      <w:r w:rsidRPr="005D3D0B">
        <w:rPr>
          <w:rFonts w:ascii="Arial Narrow" w:hAnsi="Arial Narrow"/>
          <w:b/>
          <w:sz w:val="28"/>
          <w:szCs w:val="28"/>
        </w:rPr>
        <w:t xml:space="preserve">Processo Licitatório nº. </w:t>
      </w:r>
      <w:r w:rsidR="00C16ABB">
        <w:rPr>
          <w:rFonts w:ascii="Arial Narrow" w:hAnsi="Arial Narrow"/>
          <w:b/>
          <w:sz w:val="28"/>
          <w:szCs w:val="28"/>
        </w:rPr>
        <w:t>129</w:t>
      </w:r>
      <w:r w:rsidRPr="005D3D0B">
        <w:rPr>
          <w:rFonts w:ascii="Arial Narrow" w:hAnsi="Arial Narrow"/>
          <w:b/>
          <w:sz w:val="28"/>
          <w:szCs w:val="28"/>
        </w:rPr>
        <w:t>/2017</w:t>
      </w:r>
      <w:r w:rsidRPr="005D3D0B">
        <w:rPr>
          <w:rFonts w:ascii="Arial Narrow" w:hAnsi="Arial Narrow"/>
          <w:sz w:val="28"/>
          <w:szCs w:val="28"/>
        </w:rPr>
        <w:t>, gerado pel</w:t>
      </w:r>
      <w:r w:rsidR="00C16ABB">
        <w:rPr>
          <w:rFonts w:ascii="Arial Narrow" w:hAnsi="Arial Narrow"/>
          <w:sz w:val="28"/>
          <w:szCs w:val="28"/>
        </w:rPr>
        <w:t xml:space="preserve">a </w:t>
      </w:r>
      <w:r w:rsidR="00C16ABB">
        <w:rPr>
          <w:rFonts w:ascii="Arial Narrow" w:hAnsi="Arial Narrow"/>
          <w:b/>
          <w:sz w:val="28"/>
          <w:szCs w:val="28"/>
        </w:rPr>
        <w:t>Dispensa de Licitação</w:t>
      </w:r>
      <w:r w:rsidRPr="005D3D0B">
        <w:rPr>
          <w:rFonts w:ascii="Arial Narrow" w:hAnsi="Arial Narrow"/>
          <w:b/>
          <w:sz w:val="28"/>
          <w:szCs w:val="28"/>
        </w:rPr>
        <w:t xml:space="preserve"> nº. 0</w:t>
      </w:r>
      <w:r w:rsidR="00C16ABB">
        <w:rPr>
          <w:rFonts w:ascii="Arial Narrow" w:hAnsi="Arial Narrow"/>
          <w:b/>
          <w:sz w:val="28"/>
          <w:szCs w:val="28"/>
        </w:rPr>
        <w:t>56</w:t>
      </w:r>
      <w:r w:rsidRPr="005D3D0B">
        <w:rPr>
          <w:rFonts w:ascii="Arial Narrow" w:hAnsi="Arial Narrow"/>
          <w:b/>
          <w:sz w:val="28"/>
          <w:szCs w:val="28"/>
        </w:rPr>
        <w:t>/2017</w:t>
      </w:r>
      <w:r w:rsidRPr="005D3D0B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IV. FUNDAMENTO LEGAL:</w:t>
      </w:r>
      <w:r w:rsidRPr="005D3D0B">
        <w:rPr>
          <w:rFonts w:ascii="Arial Narrow" w:hAnsi="Arial Narrow"/>
          <w:sz w:val="28"/>
          <w:szCs w:val="28"/>
        </w:rPr>
        <w:t xml:space="preserve"> O presente Contrato é regido pelas cláusulas e condições nele contidas, pela Lei Federal nº. 8.666/93, e demais normas legais pertinentes.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PRIMEIRA – DO OBJETO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do ramo de seguros para </w:t>
      </w:r>
      <w:r w:rsidR="00B8076F">
        <w:rPr>
          <w:rFonts w:ascii="Arial Narrow" w:hAnsi="Arial Narrow"/>
          <w:sz w:val="28"/>
          <w:szCs w:val="28"/>
        </w:rPr>
        <w:t xml:space="preserve">assegurar </w:t>
      </w:r>
      <w:r w:rsidR="00C16ABB">
        <w:rPr>
          <w:rFonts w:ascii="Arial Narrow" w:hAnsi="Arial Narrow"/>
          <w:sz w:val="28"/>
          <w:szCs w:val="28"/>
        </w:rPr>
        <w:t>v</w:t>
      </w:r>
      <w:r w:rsidRPr="005D3D0B">
        <w:rPr>
          <w:rFonts w:ascii="Arial Narrow" w:hAnsi="Arial Narrow"/>
          <w:sz w:val="28"/>
          <w:szCs w:val="28"/>
        </w:rPr>
        <w:t xml:space="preserve">eículo </w:t>
      </w:r>
      <w:r w:rsidRPr="005D3D0B">
        <w:rPr>
          <w:rFonts w:ascii="Arial Narrow" w:hAnsi="Arial Narrow"/>
          <w:sz w:val="28"/>
          <w:szCs w:val="28"/>
        </w:rPr>
        <w:lastRenderedPageBreak/>
        <w:t>pertencente à Frota do Município de Iguatemi/MS, de acordo com características e especificações abaixo:</w:t>
      </w:r>
    </w:p>
    <w:p w:rsidR="00BD70DD" w:rsidRDefault="00BD70D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B8076F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8076F">
        <w:rPr>
          <w:rFonts w:ascii="Arial Narrow" w:hAnsi="Arial Narrow"/>
          <w:sz w:val="28"/>
          <w:szCs w:val="28"/>
        </w:rPr>
        <w:drawing>
          <wp:inline distT="0" distB="0" distL="0" distR="0" wp14:anchorId="3C77FECB" wp14:editId="5C27F06B">
            <wp:extent cx="5760085" cy="1701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C336D" w:rsidRDefault="004C336D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>. Todos os veículos assegurados deverão ter as suas franquias na modalidade “FRANQUIA REDUZIDA”.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SEGUNDA – DA OBRIGAÇÃO DAS PARTES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ano prazo estabelecido, a Apólice de Seguro contendo todos os dados estabelecidos no presente Instrumento Convocatório, além de outros que se fizerem necessários em face das disposições legis pertinentes;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 e contribuição ao FGTS, durante toda a vigência deste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l)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contrato. 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d) Aplicar as sanções administrativas contratuais pertinentes, em caso de inadimplemento.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TERCEIRA – DO VALOR E CONDIÇÕES DE PAGAMENTO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D91178">
        <w:rPr>
          <w:rFonts w:ascii="Arial Narrow" w:hAnsi="Arial Narrow"/>
          <w:b/>
          <w:i/>
          <w:sz w:val="28"/>
          <w:szCs w:val="28"/>
        </w:rPr>
        <w:t>R$</w:t>
      </w:r>
      <w:r w:rsidR="00D91178">
        <w:rPr>
          <w:rFonts w:ascii="Arial Narrow" w:hAnsi="Arial Narrow"/>
          <w:b/>
          <w:i/>
          <w:sz w:val="28"/>
          <w:szCs w:val="28"/>
        </w:rPr>
        <w:t xml:space="preserve"> </w:t>
      </w:r>
      <w:r w:rsidR="00B8076F">
        <w:rPr>
          <w:rFonts w:ascii="Arial Narrow" w:hAnsi="Arial Narrow"/>
          <w:b/>
          <w:i/>
          <w:sz w:val="28"/>
          <w:szCs w:val="28"/>
        </w:rPr>
        <w:t>3.804,63</w:t>
      </w:r>
      <w:r w:rsidR="00D91178">
        <w:rPr>
          <w:rFonts w:ascii="Arial Narrow" w:hAnsi="Arial Narrow"/>
          <w:b/>
          <w:i/>
          <w:sz w:val="28"/>
          <w:szCs w:val="28"/>
        </w:rPr>
        <w:t xml:space="preserve"> (</w:t>
      </w:r>
      <w:r w:rsidR="00E95820">
        <w:rPr>
          <w:rFonts w:ascii="Arial Narrow" w:hAnsi="Arial Narrow"/>
          <w:b/>
          <w:i/>
          <w:sz w:val="28"/>
          <w:szCs w:val="28"/>
        </w:rPr>
        <w:t>Três mil oitocentos e quatro reais e sessenta e três centavos</w:t>
      </w:r>
      <w:r w:rsidR="00D91178">
        <w:rPr>
          <w:rFonts w:ascii="Arial Narrow" w:hAnsi="Arial Narrow"/>
          <w:b/>
          <w:i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>, fixo e irreajustável.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3.3</w:t>
      </w:r>
      <w:r w:rsidRPr="005D3D0B">
        <w:rPr>
          <w:rFonts w:ascii="Arial Narrow" w:hAnsi="Arial Narrow"/>
          <w:sz w:val="28"/>
          <w:szCs w:val="28"/>
        </w:rPr>
        <w:t xml:space="preserve">. O pagamento será efetuado em </w:t>
      </w:r>
      <w:r w:rsidR="001D0884">
        <w:rPr>
          <w:rFonts w:ascii="Arial Narrow" w:hAnsi="Arial Narrow"/>
          <w:b/>
          <w:i/>
          <w:sz w:val="28"/>
          <w:szCs w:val="28"/>
        </w:rPr>
        <w:t>parcela única</w:t>
      </w:r>
      <w:r w:rsidRPr="005D3D0B">
        <w:rPr>
          <w:rFonts w:ascii="Arial Narrow" w:hAnsi="Arial Narrow"/>
          <w:sz w:val="28"/>
          <w:szCs w:val="28"/>
        </w:rPr>
        <w:t xml:space="preserve"> no valor de </w:t>
      </w:r>
      <w:r w:rsidRPr="00D91178">
        <w:rPr>
          <w:rFonts w:ascii="Arial Narrow" w:hAnsi="Arial Narrow"/>
          <w:b/>
          <w:i/>
          <w:sz w:val="28"/>
          <w:szCs w:val="28"/>
        </w:rPr>
        <w:t xml:space="preserve">R$ </w:t>
      </w:r>
      <w:r w:rsidR="001D0884">
        <w:rPr>
          <w:rFonts w:ascii="Arial Narrow" w:hAnsi="Arial Narrow"/>
          <w:b/>
          <w:i/>
          <w:sz w:val="28"/>
          <w:szCs w:val="28"/>
        </w:rPr>
        <w:t xml:space="preserve">3.804,63 (Três mil oitocentos e quatro reais e sessenta </w:t>
      </w:r>
      <w:r w:rsidR="00E95820">
        <w:rPr>
          <w:rFonts w:ascii="Arial Narrow" w:hAnsi="Arial Narrow"/>
          <w:b/>
          <w:i/>
          <w:sz w:val="28"/>
          <w:szCs w:val="28"/>
        </w:rPr>
        <w:t xml:space="preserve">e três </w:t>
      </w:r>
      <w:r w:rsidR="001D0884">
        <w:rPr>
          <w:rFonts w:ascii="Arial Narrow" w:hAnsi="Arial Narrow"/>
          <w:b/>
          <w:i/>
          <w:sz w:val="28"/>
          <w:szCs w:val="28"/>
        </w:rPr>
        <w:t>centavos)</w:t>
      </w:r>
      <w:r w:rsidRPr="005D3D0B">
        <w:rPr>
          <w:rFonts w:ascii="Arial Narrow" w:hAnsi="Arial Narrow"/>
          <w:sz w:val="28"/>
          <w:szCs w:val="28"/>
        </w:rPr>
        <w:t>, após a efetiva entrega da seguinte documentação: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3.4</w:t>
      </w:r>
      <w:r w:rsidRPr="005D3D0B">
        <w:rPr>
          <w:rFonts w:ascii="Arial Narrow" w:hAnsi="Arial Narrow"/>
          <w:sz w:val="28"/>
          <w:szCs w:val="28"/>
        </w:rPr>
        <w:t>. O pagamento se dará por depósito na conta-corrente indicada pela CONTRATADA, através de ordem bancária, em até 30 (trinta) dias contados após o atesto do gestor do contrato.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3.5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3.6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reapresentação.</w:t>
      </w:r>
    </w:p>
    <w:p w:rsidR="00D91178" w:rsidRDefault="00D91178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D0884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>. Os preços deverão ser expressos em reais</w:t>
      </w:r>
      <w:r w:rsidR="001D0884">
        <w:rPr>
          <w:rFonts w:ascii="Arial Narrow" w:hAnsi="Arial Narrow"/>
          <w:sz w:val="28"/>
          <w:szCs w:val="28"/>
        </w:rPr>
        <w:t>.</w:t>
      </w:r>
    </w:p>
    <w:p w:rsidR="00C86B99" w:rsidRPr="005D3D0B" w:rsidRDefault="001D088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777296">
        <w:rPr>
          <w:rFonts w:ascii="Arial Narrow" w:hAnsi="Arial Narrow"/>
          <w:b/>
          <w:i/>
          <w:sz w:val="28"/>
          <w:szCs w:val="28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SEXTA – RECURSO ORÇAMENTÁRIO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6.1</w:t>
      </w:r>
      <w:r w:rsidRPr="005D3D0B">
        <w:rPr>
          <w:rFonts w:ascii="Arial Narrow" w:hAnsi="Arial Narrow"/>
          <w:sz w:val="28"/>
          <w:szCs w:val="28"/>
        </w:rPr>
        <w:t>. As despesas decorrentes da execução do objeto correrão a cargo das seguinte dotaç</w:t>
      </w:r>
      <w:r w:rsidR="001D0884">
        <w:rPr>
          <w:rFonts w:ascii="Arial Narrow" w:hAnsi="Arial Narrow"/>
          <w:sz w:val="28"/>
          <w:szCs w:val="28"/>
        </w:rPr>
        <w:t xml:space="preserve">ão </w:t>
      </w:r>
      <w:r w:rsidRPr="005D3D0B">
        <w:rPr>
          <w:rFonts w:ascii="Arial Narrow" w:hAnsi="Arial Narrow"/>
          <w:sz w:val="28"/>
          <w:szCs w:val="28"/>
        </w:rPr>
        <w:t>orçamentária:</w:t>
      </w:r>
    </w:p>
    <w:p w:rsidR="001D0884" w:rsidRDefault="001D0884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D0884" w:rsidRPr="001D0884" w:rsidRDefault="001D0884" w:rsidP="001D0884">
      <w:pP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3  FUNDO MUN. MANUT. DESENV. EDUC. BÁSICA E VAL. MAG - FUNDEB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05  SECRETARIA MUNICIPAL DE EDUCAÇÃO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05.02  FUNDO DE MAN. E DESENV. ED. BAS. PROF. EDUCAÇÃO - FUNDEB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12.361.0804-2.026  ENSINO FUNDAMENTAL FUNDEB - 40%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3.3.90.39.00  OUTROS SERVIÇOS DE TERCEIROS - PESSOA JURÍDICA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>FONTE: 0.1.19-000     /     FICHA: 179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br/>
        <w:t xml:space="preserve">R$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3.804,63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Três mil oitocentos e quatro reais e sessenta e três centavos</w:t>
      </w:r>
      <w:r w:rsidRPr="001D088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</w:p>
    <w:p w:rsidR="001D0884" w:rsidRDefault="001D0884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6F2570" w:rsidRPr="00D91178">
        <w:rPr>
          <w:rFonts w:ascii="Arial Narrow" w:hAnsi="Arial Narrow"/>
          <w:b/>
          <w:i/>
          <w:sz w:val="28"/>
          <w:szCs w:val="28"/>
        </w:rPr>
        <w:t>R$</w:t>
      </w:r>
      <w:r w:rsidR="006F2570">
        <w:rPr>
          <w:rFonts w:ascii="Arial Narrow" w:hAnsi="Arial Narrow"/>
          <w:b/>
          <w:i/>
          <w:sz w:val="28"/>
          <w:szCs w:val="28"/>
        </w:rPr>
        <w:t xml:space="preserve"> </w:t>
      </w:r>
      <w:r w:rsidR="00E95820" w:rsidRPr="00D91178">
        <w:rPr>
          <w:rFonts w:ascii="Arial Narrow" w:hAnsi="Arial Narrow"/>
          <w:b/>
          <w:i/>
          <w:sz w:val="28"/>
          <w:szCs w:val="28"/>
        </w:rPr>
        <w:t xml:space="preserve">R$ </w:t>
      </w:r>
      <w:r w:rsidR="00E95820">
        <w:rPr>
          <w:rFonts w:ascii="Arial Narrow" w:hAnsi="Arial Narrow"/>
          <w:b/>
          <w:i/>
          <w:sz w:val="28"/>
          <w:szCs w:val="28"/>
        </w:rPr>
        <w:t>3.804,63 (Três mil oitocentos e quatro reais e sessenta e três centavos</w:t>
      </w:r>
      <w:r w:rsidR="006F2570">
        <w:rPr>
          <w:rFonts w:ascii="Arial Narrow" w:hAnsi="Arial Narrow"/>
          <w:b/>
          <w:i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 xml:space="preserve">. </w:t>
      </w:r>
    </w:p>
    <w:p w:rsidR="00C86B99" w:rsidRDefault="00C86B99" w:rsidP="00C86B99">
      <w:pPr>
        <w:pStyle w:val="SemEspaamento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OITAVA</w:t>
      </w:r>
      <w:r w:rsidRPr="00D15625">
        <w:rPr>
          <w:rFonts w:ascii="Arial Narrow" w:hAnsi="Arial Narrow"/>
          <w:b/>
          <w:sz w:val="28"/>
          <w:szCs w:val="28"/>
        </w:rPr>
        <w:t xml:space="preserve"> – DAS PENALIDADES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Nos termos do art. 86 da Lei Federal nº. 8.666/93 fica estipulado o percentual de 0,5% (meio por cento) sobre o valor inadimplido, a título de multa de mora, por dia de atraso injustificado na prestação dos serviços objeto deste contrato, até o limite de 10% (dez por cento) do valor empenhado.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 w:rsidRPr="005D3D0B">
        <w:rPr>
          <w:rFonts w:ascii="Arial Narrow" w:hAnsi="Arial Narrow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 – advertência;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</w:t>
      </w:r>
      <w:r w:rsidRPr="005D3D0B">
        <w:rPr>
          <w:rFonts w:ascii="Arial Narrow" w:hAnsi="Arial Narrow"/>
          <w:sz w:val="28"/>
          <w:szCs w:val="28"/>
        </w:rPr>
        <w:t xml:space="preserve"> – multa de 10% (dez </w:t>
      </w:r>
      <w:r>
        <w:rPr>
          <w:rFonts w:ascii="Arial Narrow" w:hAnsi="Arial Narrow"/>
          <w:sz w:val="28"/>
          <w:szCs w:val="28"/>
        </w:rPr>
        <w:t>por cento) do valor do contrato;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III</w:t>
      </w:r>
      <w:r w:rsidRPr="005D3D0B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</w:t>
      </w:r>
      <w:r>
        <w:rPr>
          <w:rFonts w:ascii="Arial Narrow" w:hAnsi="Arial Narrow"/>
          <w:sz w:val="28"/>
          <w:szCs w:val="28"/>
        </w:rPr>
        <w:t>zo não superior a 2 (dois) anos;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IV</w:t>
      </w:r>
      <w:r w:rsidRPr="005D3D0B">
        <w:rPr>
          <w:rFonts w:ascii="Arial Narrow" w:hAnsi="Arial Narrow"/>
          <w:sz w:val="28"/>
          <w:szCs w:val="28"/>
        </w:rPr>
        <w:t xml:space="preserve"> – declaração de inidoneidade para licitar ou contratar com a Administração Pública.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</w:t>
      </w:r>
      <w:r w:rsidRPr="005D3D0B">
        <w:rPr>
          <w:rFonts w:ascii="Arial Narrow" w:hAnsi="Arial Narrow"/>
          <w:sz w:val="28"/>
          <w:szCs w:val="28"/>
        </w:rPr>
        <w:lastRenderedPageBreak/>
        <w:t>Municípios pelo prazo de até 5 (cinco) anos, sem prejuízo das multas previstas em edital e no contrato e das demais cominações legais.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.4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.5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.6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D15625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 xml:space="preserve">NONA </w:t>
      </w:r>
      <w:r w:rsidRPr="00D15625">
        <w:rPr>
          <w:rFonts w:ascii="Arial Narrow" w:hAnsi="Arial Narrow"/>
          <w:b/>
          <w:sz w:val="28"/>
          <w:szCs w:val="28"/>
        </w:rPr>
        <w:t>– DA RESCISÃO CONTRATUAL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rescisão contratual poderá ser determinada por ato unilateral e escrito da Administração, nos casos enumerados nos incisos I, XII e XVII do art. 78 da Lei Federal nº. 8.666/93.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– DA PUBLICAÇÃO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10.1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PRIMEIRA – DA VIGÊNCIA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F0060E">
        <w:rPr>
          <w:rFonts w:ascii="Arial Narrow" w:hAnsi="Arial Narrow"/>
          <w:b/>
          <w:i/>
          <w:sz w:val="28"/>
          <w:szCs w:val="28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titular do Departamento de Gestão de Atas e Contratos Administrativos.</w:t>
      </w:r>
    </w:p>
    <w:p w:rsidR="00C86B99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F0060E" w:rsidRDefault="00C86B99" w:rsidP="00C86B99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lastRenderedPageBreak/>
        <w:t>CLAUSULA DÉCIMA TERCEIRA - DO FORO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13.1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Fica eleito o Foro da Comarca de Iguatemi Estado de Mato Grosso do Sul, para dirimir questões oriundas deste Contrato, com renuncia expressa a qualquer outro por mais privilegiado que seja.</w:t>
      </w: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5D3D0B" w:rsidRDefault="00C86B99" w:rsidP="00C86B9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B653C3" w:rsidRPr="00163A05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0857B0" w:rsidRPr="00163A05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BA33CC">
        <w:rPr>
          <w:rFonts w:ascii="Arial Narrow" w:hAnsi="Arial Narrow" w:cs="Arial"/>
          <w:sz w:val="28"/>
          <w:szCs w:val="28"/>
        </w:rPr>
        <w:t xml:space="preserve">Iguatemi/MS, </w:t>
      </w:r>
      <w:r w:rsidR="00E95820">
        <w:rPr>
          <w:rFonts w:ascii="Arial Narrow" w:hAnsi="Arial Narrow" w:cs="Arial"/>
          <w:sz w:val="28"/>
          <w:szCs w:val="28"/>
        </w:rPr>
        <w:t>23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Pr="00BA33CC">
        <w:rPr>
          <w:rFonts w:ascii="Arial Narrow" w:hAnsi="Arial Narrow" w:cs="Arial"/>
          <w:sz w:val="28"/>
          <w:szCs w:val="28"/>
        </w:rPr>
        <w:t>de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="00E95820">
        <w:rPr>
          <w:rFonts w:ascii="Arial Narrow" w:hAnsi="Arial Narrow" w:cs="Arial"/>
          <w:sz w:val="28"/>
          <w:szCs w:val="28"/>
        </w:rPr>
        <w:t>junho</w:t>
      </w:r>
      <w:r w:rsidR="000D4323" w:rsidRPr="00BA33CC">
        <w:rPr>
          <w:rFonts w:ascii="Arial Narrow" w:hAnsi="Arial Narrow" w:cs="Arial"/>
          <w:sz w:val="28"/>
          <w:szCs w:val="28"/>
        </w:rPr>
        <w:t xml:space="preserve"> </w:t>
      </w:r>
      <w:r w:rsidRPr="00BA33CC">
        <w:rPr>
          <w:rFonts w:ascii="Arial Narrow" w:hAnsi="Arial Narrow" w:cs="Arial"/>
          <w:sz w:val="28"/>
          <w:szCs w:val="28"/>
        </w:rPr>
        <w:t>de 2017.</w:t>
      </w:r>
    </w:p>
    <w:p w:rsidR="00E95820" w:rsidRDefault="00E9582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E95820" w:rsidRPr="00163A05" w:rsidRDefault="00E9582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987189" w:rsidRPr="00163A05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163A05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DE2518" w:rsidRPr="00163A05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163A05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163A05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63A05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DE2518" w:rsidRPr="00163A05" w:rsidRDefault="00E95820" w:rsidP="00DE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i/>
                <w:sz w:val="28"/>
                <w:szCs w:val="28"/>
                <w:lang w:eastAsia="pt-BR"/>
              </w:rPr>
              <w:t>Marta Wouters Montoya</w:t>
            </w:r>
          </w:p>
          <w:p w:rsidR="00E95820" w:rsidRDefault="00E95820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eastAsia="pt-BR"/>
              </w:rPr>
              <w:t>PORTO SEGURO COMPANHIA DE SEGUROS GERAIS</w:t>
            </w: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4A1E3B" w:rsidRPr="00163A05" w:rsidRDefault="004A1E3B" w:rsidP="00DE25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63A05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  <w:tr w:rsidR="00DE2518" w:rsidRPr="00163A05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163A05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163A05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0857B0" w:rsidRPr="00163A05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E95820" w:rsidRPr="00163A05" w:rsidRDefault="00E95820" w:rsidP="00E95820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  <w:r w:rsidRPr="00163A05">
        <w:rPr>
          <w:rFonts w:ascii="Arial Narrow" w:hAnsi="Arial Narrow" w:cs="Arial Narrow"/>
          <w:sz w:val="28"/>
          <w:szCs w:val="28"/>
        </w:rPr>
        <w:t>__________________________</w:t>
      </w:r>
    </w:p>
    <w:p w:rsidR="00E95820" w:rsidRDefault="00E95820" w:rsidP="00E95820">
      <w:pPr>
        <w:widowControl w:val="0"/>
        <w:ind w:right="-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>
        <w:rPr>
          <w:rFonts w:ascii="Arial Narrow" w:hAnsi="Arial Narrow" w:cs="Arial Narrow"/>
          <w:b/>
          <w:i/>
          <w:sz w:val="28"/>
          <w:szCs w:val="28"/>
          <w:lang w:eastAsia="pt-BR"/>
        </w:rPr>
        <w:t>Neide Oliveira Souza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 xml:space="preserve"> </w:t>
      </w:r>
    </w:p>
    <w:p w:rsidR="00E95820" w:rsidRDefault="00E95820" w:rsidP="00E95820">
      <w:pPr>
        <w:widowControl w:val="0"/>
        <w:ind w:right="-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>
        <w:rPr>
          <w:rFonts w:ascii="Arial Narrow" w:hAnsi="Arial Narrow" w:cs="Arial Narrow"/>
          <w:b/>
          <w:sz w:val="28"/>
          <w:szCs w:val="28"/>
          <w:lang w:eastAsia="pt-BR"/>
        </w:rPr>
        <w:t xml:space="preserve">PORTO SEGURO COMPANHIA DE </w:t>
      </w:r>
    </w:p>
    <w:p w:rsidR="00E95820" w:rsidRDefault="00E95820" w:rsidP="00E95820">
      <w:pPr>
        <w:widowControl w:val="0"/>
        <w:ind w:right="-1"/>
        <w:jc w:val="center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eastAsia="pt-BR"/>
        </w:rPr>
        <w:t>SEGUROS GERAIS</w:t>
      </w:r>
    </w:p>
    <w:p w:rsidR="000857B0" w:rsidRDefault="00E95820" w:rsidP="00E95820">
      <w:pPr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163A05">
        <w:rPr>
          <w:rFonts w:ascii="Arial Narrow" w:hAnsi="Arial Narrow" w:cs="Arial"/>
          <w:b/>
          <w:iCs/>
          <w:sz w:val="28"/>
          <w:szCs w:val="28"/>
        </w:rPr>
        <w:t>(CONTRATADA)</w:t>
      </w:r>
    </w:p>
    <w:p w:rsidR="00E95820" w:rsidRDefault="00E9582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E95820" w:rsidRDefault="00E9582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163A05">
        <w:rPr>
          <w:rFonts w:ascii="Arial Narrow" w:hAnsi="Arial Narrow"/>
          <w:b/>
          <w:sz w:val="28"/>
          <w:szCs w:val="28"/>
        </w:rPr>
        <w:t>TESTEMUNHAS:</w:t>
      </w:r>
    </w:p>
    <w:p w:rsidR="00E95820" w:rsidRDefault="00E9582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E95820" w:rsidRPr="00163A05" w:rsidRDefault="00E9582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Pr="00163A05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DE2518" w:rsidRPr="00163A05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DE2518" w:rsidRPr="00163A05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163A05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5D53FB" w:rsidRPr="000857B0" w:rsidRDefault="00D20855" w:rsidP="005D53FB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163A05" w:rsidRDefault="005D53FB" w:rsidP="00D20855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 xml:space="preserve">CPF: </w:t>
                  </w:r>
                  <w:r w:rsidR="00D20855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163A05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5D53FB" w:rsidRPr="004A1E3B" w:rsidRDefault="005D53FB" w:rsidP="005D53F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João Batista Ferreira de Souza</w:t>
                  </w:r>
                </w:p>
                <w:p w:rsidR="004A1E3B" w:rsidRPr="00163A05" w:rsidRDefault="005D53FB" w:rsidP="005D53FB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163A05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DE2518" w:rsidRPr="00163A05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163A05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163A05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163A05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163A05" w:rsidSect="007D5AC3">
      <w:headerReference w:type="default" r:id="rId9"/>
      <w:footerReference w:type="default" r:id="rId10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E7" w:rsidRDefault="00BA51E7">
      <w:r>
        <w:separator/>
      </w:r>
    </w:p>
  </w:endnote>
  <w:endnote w:type="continuationSeparator" w:id="0">
    <w:p w:rsidR="00BA51E7" w:rsidRDefault="00B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CE" w:rsidRDefault="003D51C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E7" w:rsidRDefault="00BA51E7">
      <w:r>
        <w:separator/>
      </w:r>
    </w:p>
  </w:footnote>
  <w:footnote w:type="continuationSeparator" w:id="0">
    <w:p w:rsidR="00BA51E7" w:rsidRDefault="00BA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CE" w:rsidRDefault="003D51CE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2F36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7FF"/>
    <w:rsid w:val="00163A05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85204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0884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38DF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51CE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52FEE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85A9C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336D"/>
    <w:rsid w:val="004C4727"/>
    <w:rsid w:val="004C5CB2"/>
    <w:rsid w:val="004C6B6E"/>
    <w:rsid w:val="004D350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07B0"/>
    <w:rsid w:val="005412C0"/>
    <w:rsid w:val="00541A1D"/>
    <w:rsid w:val="00542B5F"/>
    <w:rsid w:val="005443D3"/>
    <w:rsid w:val="00544F5F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53FB"/>
    <w:rsid w:val="005D71EA"/>
    <w:rsid w:val="005E32C9"/>
    <w:rsid w:val="005E660C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2570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5729D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09BF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4BA9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4645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2BE2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141AD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35D7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306B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486"/>
    <w:rsid w:val="00AC3FE2"/>
    <w:rsid w:val="00AC6791"/>
    <w:rsid w:val="00AD0030"/>
    <w:rsid w:val="00AD2F9B"/>
    <w:rsid w:val="00AD59FD"/>
    <w:rsid w:val="00AD7DB8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27C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076F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33CC"/>
    <w:rsid w:val="00BA51E7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0D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6ABB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020A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36FD"/>
    <w:rsid w:val="00C843A8"/>
    <w:rsid w:val="00C84711"/>
    <w:rsid w:val="00C8538B"/>
    <w:rsid w:val="00C86B99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0855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178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2518"/>
    <w:rsid w:val="00DE557C"/>
    <w:rsid w:val="00DE5D2B"/>
    <w:rsid w:val="00DE7342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4A55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5820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44E8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F4D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2B04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4B86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9BBE8-E9DE-47C6-A25A-4DC5392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86B99"/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AF2F-C7B8-4BE7-8921-09A9C86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7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12182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LABASSPROF</cp:lastModifiedBy>
  <cp:revision>64</cp:revision>
  <cp:lastPrinted>2017-04-17T13:42:00Z</cp:lastPrinted>
  <dcterms:created xsi:type="dcterms:W3CDTF">2017-04-17T13:53:00Z</dcterms:created>
  <dcterms:modified xsi:type="dcterms:W3CDTF">2017-06-23T16:42:00Z</dcterms:modified>
</cp:coreProperties>
</file>