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PROCESSO Nº: 052/2015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MODALIDADE/Nº: PREGÃO Nº 022/2015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contratação de empresa especializada para realização de Show Pirotécnico nas festividades alusivas ao 50º Aniversário de Emancipação Política de Iguatemi (MS), conforme </w:t>
      </w:r>
      <w:proofErr w:type="spellStart"/>
      <w:r w:rsidRPr="00810A37">
        <w:rPr>
          <w:rFonts w:ascii="Times New Roman" w:hAnsi="Times New Roman" w:cs="Times New Roman"/>
          <w:sz w:val="20"/>
          <w:szCs w:val="20"/>
        </w:rPr>
        <w:t>especifações</w:t>
      </w:r>
      <w:proofErr w:type="spellEnd"/>
      <w:r w:rsidRPr="00810A37">
        <w:rPr>
          <w:rFonts w:ascii="Times New Roman" w:hAnsi="Times New Roman" w:cs="Times New Roman"/>
          <w:sz w:val="20"/>
          <w:szCs w:val="20"/>
        </w:rPr>
        <w:t xml:space="preserve"> detalhadas no Termo de Referencia, Proposta de Preços e demais </w:t>
      </w:r>
      <w:proofErr w:type="spellStart"/>
      <w:r w:rsidRPr="00810A37">
        <w:rPr>
          <w:rFonts w:ascii="Times New Roman" w:hAnsi="Times New Roman" w:cs="Times New Roman"/>
          <w:sz w:val="20"/>
          <w:szCs w:val="20"/>
        </w:rPr>
        <w:t>exigencia</w:t>
      </w:r>
      <w:proofErr w:type="spellEnd"/>
      <w:r w:rsidRPr="00810A37">
        <w:rPr>
          <w:rFonts w:ascii="Times New Roman" w:hAnsi="Times New Roman" w:cs="Times New Roman"/>
          <w:sz w:val="20"/>
          <w:szCs w:val="20"/>
        </w:rPr>
        <w:t xml:space="preserve"> constantes no Edital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10A3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10A37">
        <w:rPr>
          <w:rFonts w:ascii="Times New Roman" w:hAnsi="Times New Roman" w:cs="Times New Roman"/>
          <w:sz w:val="20"/>
          <w:szCs w:val="20"/>
        </w:rPr>
        <w:t xml:space="preserve">): CASA DE FOGOS SÃO NICOLAU LTDA ME, no Anexo I - lote: 1, totalizando R$ 5.000,00 (cinco mil reais); 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Iguatemi/MS, 24 de abril de 2015.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Mauricelio Barros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Pregoeiro Oficial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A37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Iguatemi/MS, 24 de abril de 2015.</w:t>
      </w: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</w:p>
    <w:p w:rsidR="00810A37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10A3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10A3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DC7E5A" w:rsidRPr="00810A37" w:rsidRDefault="00810A37" w:rsidP="00810A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0"/>
          <w:szCs w:val="20"/>
        </w:rPr>
      </w:pPr>
      <w:r w:rsidRPr="00810A37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DC7E5A" w:rsidRPr="00810A37" w:rsidSect="00810A3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A37"/>
    <w:rsid w:val="00810A37"/>
    <w:rsid w:val="00D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2015-04-24T13:45:00Z</dcterms:created>
  <dcterms:modified xsi:type="dcterms:W3CDTF">2015-04-24T13:49:00Z</dcterms:modified>
</cp:coreProperties>
</file>